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重大活动备案报告制度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为规范本会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活动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工作，根据《佛山市网商协会章程》制定本制度。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一、需要报告的事项：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1、上级有关部门来协会检查指导工作；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、参加上级召开的有关重要会议情况；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3、有关部门部署或涉及协会工作；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、涉及到公共财产变更、转移、外借和账号借用的；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5、非正常渠道索取有关案件资料或统计数字的；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6、新闻部门来人来函采访案件或协会工作的；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7、涉及协会形象或协会工作的突出事件；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8、其他应报告的重大事项。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二、报告方式：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重大事项发生后，实行逐级呈报制度。直接责任人应当立即将情况向负责人报告；负责人向协会分管领导报告；分管领导向协会会长报告。情况紧急的，可直接向协会会长报告（外出时应先报告主持工作的）。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在逐级报告的同时，直接责任人所在部门对涉及到的有关部门（或会员单位）要及时告知。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三、奖励与处罚：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重大事项的直接责任人、部门负责人、分管领导、知情人及时报告并妥善采取措施，避免造成不良影响或事态扩大的，由常务理事会研究决定，视情况给予表彰和奖励。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重大事项的直接责任人、部门负责人、分管领导、知情人有义务及时呈报协会会长。出现下列情形之一者，区别情况分别给予通报批评。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、隐瞒不报的；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、扩大或缩小事态进行谎报的；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、有意拖延报告期限的；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、设置障碍、阻止知情人上报或对知情人打击报复的。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以上问题由协会会长责令有关部门（或会员单位）查处，由常务理事会决定处罚。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3A45"/>
    <w:rsid w:val="41577367"/>
    <w:rsid w:val="490578A8"/>
    <w:rsid w:val="682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2021-04-13T03:56:57Z</dcterms:created>
  <dc:creator>Lenoivo</dc:creator>
  <cp:lastModifiedBy>邱小寒【网商会执行秘书长】</cp:lastModifiedBy>
  <dcterms:modified xsi:type="dcterms:W3CDTF">2021-04-13T03:58:43Z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